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application/octet-stream"/>
  <Default Extension="png" ContentType="application/octet-stream"/>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b/>
          <w:sz w:val="72"/>
          <w:szCs w:val="72"/>
        </w:rPr>
        <w:t>ROSOBORONEXPORT to exhibit Lancet-E loitering munition system overseas for first time at ADEX 2024</w:t>
      </w:r>
      <w:r/>
    </w:p>
    <w:p>
      <w:pPr/>
      <w:r>
        <w:t>ROSOBORONEXPORT JSC (part of Rostec State Corporation) is organizing a single Russian exhibit at the ADEX 2024 International Defence Industry Exhibition, which will be held from September 24 to 26 in Baku (Azerbaijan).
Twelve Russian companies will take part in the exhibition and present products for all services of the armed forces, police and counter-terror units.
"Russia and the Caspian countries have long-term good neighborly relations, including in the sphere of military-technical cooperation. Our partners are well aware of reliable and effective Russian defence products. At ADEX 2024, ROSOBORONEXPORT will showcase battle-proven and most in-demand modern weaponry, including the Lancet-E loitering munition system and the latest counter-UAV electronic warfare system for the first time exhibited outside Russia. The solutions we are presenting provide protection against the entire spectrum of external and internal threats to the security of States in the region,"- said Alexander Mikheev, Director General of ROSOBORONEXPORT.
The Lancet-E loitering munition system – the main highlight of ROSOBORONEXPORT’s exhibit – provides assured engagement of MBTs, IFVs, APCs, engineer equipment, fortified strongpoints and command posts, aircraft at home airfields, electronic warfare and counter-UAV systems, as well as fixed and moving surface targets. Battlefield experience has proved the high effectiveness of Item 51-E and Item 52-E loitering munitions, which are part of the Lancet system, in counter-battery warfare and as a weapon for engaging high-speed land and surface targets like off-road vehicles and powerboats.
The first foreign presentation of the Lancet-E system will take place on September 25 at 11.00 at ROSOBORONEXPORT’s booth in Pavilion 1.
The RP-377VM1 (version 4) compact jammer, exhibited overseas for the first time, is the latest general-purpose electronic countermeasure device, capable of suppressing both radio-control command links of IEDs and satellite navigation and control links of commercial UAVs.
RP-377VM1 (version 4) passed tests in real combat conditions and proved effective in protecting automotive and armored vehicles.
In the counter UAV segment, ROSOBORONEXPORT will also unveil Item RB-504P-E, capable of detecting and jamming UAV communication and navigation links, including in automatic mode. This model provides both sector and omnidirectional jamming to counter a "swarm" of drones.
The aircraft segment will feature the Su-35 multirole super-maneuverable fighter, Ka-52E scout/attack helicopter, Mi-17V-5 military transport helicopter and the Orlan-10E reconnaissance UAV.
For Army delegations, ROSOBORONEXPORT will showcase the T-90MS MBT, Terminator BMPT tank support fighting vehicle, modernized Msta-S self-propelled howitzer as well as S-400 Triumf long-range SAM system in the air defence segment.
Navy representatives may be interested in the Rubezh-ME coastal tactical missile system. Its weapon and acquisition systems are mounted on one platform, enabling a single vehicle to detect and engage a target.
As part of a security exhibit, a wide range of optical and electro-optical products, including daylight sights, thermal imaging sights and attachments, thermal imaging surveillance and counter-sniper devices, as well as a line of special weapons will be on display at ROSOBORONEXPORT’s booth.
ROSOBORONEXPORT scheduled an extensive business program at the exhibition. The company will discuss promising cooperation projects with the representatives of the armed forces and other security agencies of the countries in the region, including in the format of industrial partnership.
</w:t>
      </w: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894"/>
    <w:rsid w:val="00075C38"/>
    <w:rsid w:val="00902263"/>
    <w:rsid w:val="00AE4894"/>
    <w:rsid w:val="00DE25AB"/>
  </w:rsids>
  <m:mathPr>
    <m:mathFont m:val="Cambria Math"/>
    <m:brkBin m:val="before"/>
    <m:brkBinSub m:val="--"/>
    <m:smallFrac m:val="0"/>
    <m:dispDef/>
    <m:lMargin m:val="0"/>
    <m:rMargin m:val="0"/>
    <m:defJc m:val="centerGroup"/>
    <m:wrapIndent m:val="1440"/>
    <m:intLim m:val="subSup"/>
    <m:naryLim m:val="undOvr"/>
  </m:mathPr>
  <w:themeFontLang w:val="en_US_POSI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ype="http://schemas.openxmlformats.org/officeDocument/2006/relationships/theme" Target="theme/theme1.xml"/><Relationship Id="rId2" Type="http://schemas.microsoft.com/office/2007/relationships/stylesWithEffects" Target="stylesWithEffect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webSettings" Target="webSettings.xml"/><Relationship Id="rId7"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1</cp:revision>
  <dcterms:created xsi:type="dcterms:W3CDTF">2015-01-15T14:01:00Z</dcterms:created>
  <dcterms:modified xsi:type="dcterms:W3CDTF">2015-01-15T14:01:00Z</dcterms:modified>
</cp:coreProperties>
</file>